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line="240" w:lineRule="auto"/>
        <w:jc w:val="center"/>
      </w:pPr>
      <w:r>
        <w:rPr>
          <w:rFonts w:ascii="Times New Roman" w:hAnsi="Times New Roman" w:eastAsia="Times New Roman"/>
          <w:b/>
          <w:i w:val="0"/>
          <w:sz w:val="20"/>
          <w:u w:val="none"/>
        </w:rPr>
        <w:t xml:space="preserve">To be completed, signed, scanned, and sent to: </w:t>
      </w:r>
      <w:r>
        <w:rPr>
          <w:rFonts w:ascii="Times New Roman" w:hAnsi="Times New Roman" w:eastAsia="Times New Roman"/>
          <w:b/>
          <w:i w:val="0"/>
          <w:sz w:val="20"/>
          <w:u w:val="single"/>
        </w:rPr>
        <w:t>[DATA ACCESS EMAIL]</w:t>
      </w:r>
    </w:p>
    <w:p>
      <w:pPr>
        <w:spacing w:before="0" w:after="0" w:line="240" w:lineRule="auto"/>
        <w:jc w:val="center"/>
      </w:pPr>
      <w:r>
        <w:rPr>
          <w:rFonts w:ascii="Times New Roman" w:hAnsi="Times New Roman" w:eastAsia="Times New Roman"/>
          <w:b/>
          <w:i w:val="0"/>
          <w:sz w:val="24"/>
          <w:u w:val="none"/>
        </w:rPr>
        <w:t>Agreement for Using the</w:t>
      </w:r>
    </w:p>
    <w:p>
      <w:pPr>
        <w:spacing w:before="0" w:after="0" w:line="240" w:lineRule="auto"/>
        <w:jc w:val="center"/>
      </w:pPr>
      <w:r>
        <w:rPr>
          <w:rFonts w:ascii="Times New Roman" w:hAnsi="Times New Roman" w:eastAsia="Times New Roman"/>
          <w:b/>
          <w:i w:val="0"/>
          <w:sz w:val="32"/>
          <w:u w:val="none"/>
        </w:rPr>
        <w:t>HUG-VIS Dataset</w:t>
      </w:r>
    </w:p>
    <w:p>
      <w:pPr>
        <w:spacing w:before="0" w:after="40" w:line="240" w:lineRule="auto"/>
        <w:jc w:val="center"/>
      </w:pPr>
      <w:r>
        <w:rPr>
          <w:rFonts w:ascii="Times New Roman" w:hAnsi="Times New Roman" w:eastAsia="Times New Roman"/>
          <w:b/>
          <w:i w:val="0"/>
          <w:sz w:val="22"/>
          <w:u w:val="none"/>
        </w:rPr>
        <w:t>for a Non-Commercial Academic Research Project</w:t>
      </w:r>
    </w:p>
    <w:p>
      <w:pPr>
        <w:spacing w:before="0" w:after="0" w:line="240" w:lineRule="auto"/>
        <w:jc w:val="center"/>
      </w:pPr>
      <w:r>
        <w:rPr>
          <w:rFonts w:ascii="Times New Roman" w:hAnsi="Times New Roman" w:eastAsia="Times New Roman"/>
          <w:b w:val="0"/>
          <w:i w:val="0"/>
          <w:sz w:val="20"/>
          <w:u w:val="none"/>
        </w:rPr>
        <w:t>between</w:t>
      </w:r>
    </w:p>
    <w:p>
      <w:pPr>
        <w:spacing w:before="0" w:after="0" w:line="240" w:lineRule="auto"/>
        <w:jc w:val="center"/>
      </w:pPr>
      <w:r>
        <w:rPr>
          <w:rFonts w:ascii="Times New Roman" w:hAnsi="Times New Roman" w:eastAsia="Times New Roman"/>
          <w:b/>
          <w:i w:val="0"/>
          <w:sz w:val="22"/>
          <w:u w:val="none"/>
        </w:rPr>
        <w:t>[DATA PROVIDER LEGAL NAME]</w:t>
      </w:r>
    </w:p>
    <w:p>
      <w:pPr>
        <w:spacing w:before="0" w:after="0" w:line="240" w:lineRule="auto"/>
        <w:jc w:val="center"/>
      </w:pPr>
      <w:r>
        <w:rPr>
          <w:rFonts w:ascii="Times New Roman" w:hAnsi="Times New Roman" w:eastAsia="Times New Roman"/>
          <w:b/>
          <w:i w:val="0"/>
          <w:sz w:val="21"/>
          <w:u w:val="none"/>
        </w:rPr>
        <w:t>[LABORATORY / RESEARCH GROUP]</w:t>
      </w:r>
    </w:p>
    <w:p>
      <w:pPr>
        <w:spacing w:before="0" w:after="80" w:line="240" w:lineRule="auto"/>
        <w:jc w:val="center"/>
      </w:pPr>
      <w:r>
        <w:rPr>
          <w:rFonts w:ascii="Times New Roman" w:hAnsi="Times New Roman" w:eastAsia="Times New Roman"/>
          <w:b w:val="0"/>
          <w:i w:val="0"/>
          <w:sz w:val="20"/>
          <w:u w:val="none"/>
        </w:rPr>
        <w:t>and</w:t>
      </w:r>
    </w:p>
    <w:tbl>
      <w:tblPr>
        <w:tblW w:type="auto" w:w="0"/>
        <w:jc w:val="center"/>
        <w:tblLayout w:type="fixed"/>
        <w:tblLook w:firstColumn="1" w:firstRow="1" w:lastColumn="0" w:lastRow="0" w:noHBand="0" w:noVBand="1" w:val="04A0"/>
      </w:tblPr>
      <w:tblGrid>
        <w:gridCol w:w="4987"/>
        <w:gridCol w:w="4987"/>
      </w:tblGrid>
      <w:tr>
        <w:trPr>
          <w:cantSplit/>
        </w:trPr>
        <w:tc>
          <w:tcPr>
            <w:tcW w:type="dxa" w:w="2232"/>
            <w:vAlign w:val="bottom"/>
            <w:tcMar>
              <w:top w:w="0" w:type="dxa"/>
              <w:start w:w="0" w:type="dxa"/>
              <w:bottom w:w="18" w:type="dxa"/>
              <w:end w:w="70" w:type="dxa"/>
            </w:tcMar>
            <w:tcBorders>
              <w:top w:val="nil"/>
              <w:left w:val="nil"/>
              <w:right w:val="nil"/>
              <w:insideH w:val="nil"/>
              <w:insideV w:val="nil"/>
            </w:tcBorders>
          </w:tcPr>
          <w:p>
            <w:pPr>
              <w:spacing w:before="0" w:after="0" w:line="240" w:lineRule="auto"/>
            </w:pPr>
            <w:r>
              <w:rPr>
                <w:rFonts w:ascii="Times New Roman" w:hAnsi="Times New Roman" w:eastAsia="Times New Roman"/>
                <w:b/>
                <w:i w:val="0"/>
                <w:sz w:val="21"/>
                <w:u w:val="none"/>
              </w:rPr>
              <w:t>Name¹</w:t>
            </w:r>
          </w:p>
        </w:tc>
        <w:tc>
          <w:tcPr>
            <w:tcW w:type="dxa" w:w="7416"/>
            <w:vAlign w:val="bottom"/>
            <w:tcMar>
              <w:top w:w="0" w:type="dxa"/>
              <w:start w:w="20" w:type="dxa"/>
              <w:bottom w:w="18" w:type="dxa"/>
              <w:end w:w="0" w:type="dxa"/>
            </w:tcMar>
            <w:tcBorders>
              <w:bottom w:val="single" w:sz="9" w:space="0" w:color="000000"/>
              <w:top w:val="nil"/>
              <w:left w:val="nil"/>
              <w:right w:val="nil"/>
              <w:insideH w:val="nil"/>
              <w:insideV w:val="nil"/>
            </w:tcBorders>
          </w:tcPr>
          <w:p>
            <w:pPr>
              <w:spacing w:before="0" w:after="0" w:line="240" w:lineRule="auto"/>
            </w:pPr>
            <w:r>
              <w:rPr>
                <w:rFonts w:ascii="Times New Roman" w:hAnsi="Times New Roman" w:eastAsia="Times New Roman"/>
                <w:b w:val="0"/>
                <w:i w:val="0"/>
                <w:sz w:val="21"/>
                <w:u w:val="none"/>
              </w:rPr>
              <w:t xml:space="preserve"> </w:t>
            </w:r>
          </w:p>
        </w:tc>
      </w:tr>
      <w:tr>
        <w:trPr>
          <w:cantSplit/>
        </w:trPr>
        <w:tc>
          <w:tcPr>
            <w:tcW w:type="dxa" w:w="2232"/>
            <w:vAlign w:val="bottom"/>
            <w:tcMar>
              <w:top w:w="0" w:type="dxa"/>
              <w:start w:w="0" w:type="dxa"/>
              <w:bottom w:w="18" w:type="dxa"/>
              <w:end w:w="70" w:type="dxa"/>
            </w:tcMar>
            <w:tcBorders>
              <w:top w:val="nil"/>
              <w:left w:val="nil"/>
              <w:right w:val="nil"/>
              <w:insideH w:val="nil"/>
              <w:insideV w:val="nil"/>
            </w:tcBorders>
          </w:tcPr>
          <w:p>
            <w:pPr>
              <w:spacing w:before="0" w:after="0" w:line="240" w:lineRule="auto"/>
            </w:pPr>
            <w:r>
              <w:rPr>
                <w:rFonts w:ascii="Times New Roman" w:hAnsi="Times New Roman" w:eastAsia="Times New Roman"/>
                <w:b/>
                <w:i w:val="0"/>
                <w:sz w:val="21"/>
                <w:u w:val="none"/>
              </w:rPr>
              <w:t>Official E-mail²</w:t>
            </w:r>
          </w:p>
        </w:tc>
        <w:tc>
          <w:tcPr>
            <w:tcW w:type="dxa" w:w="7416"/>
            <w:vAlign w:val="bottom"/>
            <w:tcMar>
              <w:top w:w="0" w:type="dxa"/>
              <w:start w:w="20" w:type="dxa"/>
              <w:bottom w:w="18" w:type="dxa"/>
              <w:end w:w="0" w:type="dxa"/>
            </w:tcMar>
            <w:tcBorders>
              <w:bottom w:val="single" w:sz="9" w:space="0" w:color="000000"/>
              <w:top w:val="nil"/>
              <w:left w:val="nil"/>
              <w:right w:val="nil"/>
              <w:insideH w:val="nil"/>
              <w:insideV w:val="nil"/>
            </w:tcBorders>
          </w:tcPr>
          <w:p>
            <w:pPr>
              <w:spacing w:before="0" w:after="0" w:line="240" w:lineRule="auto"/>
            </w:pPr>
            <w:r>
              <w:rPr>
                <w:rFonts w:ascii="Times New Roman" w:hAnsi="Times New Roman" w:eastAsia="Times New Roman"/>
                <w:b w:val="0"/>
                <w:i w:val="0"/>
                <w:sz w:val="21"/>
                <w:u w:val="none"/>
              </w:rPr>
              <w:t xml:space="preserve"> </w:t>
            </w:r>
          </w:p>
        </w:tc>
      </w:tr>
      <w:tr>
        <w:trPr>
          <w:cantSplit/>
        </w:trPr>
        <w:tc>
          <w:tcPr>
            <w:tcW w:type="dxa" w:w="2232"/>
            <w:vAlign w:val="bottom"/>
            <w:tcMar>
              <w:top w:w="0" w:type="dxa"/>
              <w:start w:w="0" w:type="dxa"/>
              <w:bottom w:w="18" w:type="dxa"/>
              <w:end w:w="70" w:type="dxa"/>
            </w:tcMar>
            <w:tcBorders>
              <w:top w:val="nil"/>
              <w:left w:val="nil"/>
              <w:right w:val="nil"/>
              <w:insideH w:val="nil"/>
              <w:insideV w:val="nil"/>
            </w:tcBorders>
          </w:tcPr>
          <w:p>
            <w:pPr>
              <w:spacing w:before="0" w:after="0" w:line="240" w:lineRule="auto"/>
            </w:pPr>
            <w:r>
              <w:rPr>
                <w:rFonts w:ascii="Times New Roman" w:hAnsi="Times New Roman" w:eastAsia="Times New Roman"/>
                <w:b/>
                <w:i w:val="0"/>
                <w:sz w:val="21"/>
                <w:u w:val="none"/>
              </w:rPr>
              <w:t>Institution</w:t>
            </w:r>
          </w:p>
        </w:tc>
        <w:tc>
          <w:tcPr>
            <w:tcW w:type="dxa" w:w="7416"/>
            <w:vAlign w:val="bottom"/>
            <w:tcMar>
              <w:top w:w="0" w:type="dxa"/>
              <w:start w:w="20" w:type="dxa"/>
              <w:bottom w:w="18" w:type="dxa"/>
              <w:end w:w="0" w:type="dxa"/>
            </w:tcMar>
            <w:tcBorders>
              <w:bottom w:val="single" w:sz="9" w:space="0" w:color="000000"/>
              <w:top w:val="nil"/>
              <w:left w:val="nil"/>
              <w:right w:val="nil"/>
              <w:insideH w:val="nil"/>
              <w:insideV w:val="nil"/>
            </w:tcBorders>
          </w:tcPr>
          <w:p>
            <w:pPr>
              <w:spacing w:before="0" w:after="0" w:line="240" w:lineRule="auto"/>
            </w:pPr>
            <w:r>
              <w:rPr>
                <w:rFonts w:ascii="Times New Roman" w:hAnsi="Times New Roman" w:eastAsia="Times New Roman"/>
                <w:b w:val="0"/>
                <w:i w:val="0"/>
                <w:sz w:val="21"/>
                <w:u w:val="none"/>
              </w:rPr>
              <w:t xml:space="preserve"> </w:t>
            </w:r>
          </w:p>
        </w:tc>
      </w:tr>
      <w:tr>
        <w:trPr>
          <w:cantSplit/>
        </w:trPr>
        <w:tc>
          <w:tcPr>
            <w:tcW w:type="dxa" w:w="2232"/>
            <w:vAlign w:val="bottom"/>
            <w:tcMar>
              <w:top w:w="0" w:type="dxa"/>
              <w:start w:w="0" w:type="dxa"/>
              <w:bottom w:w="18" w:type="dxa"/>
              <w:end w:w="70" w:type="dxa"/>
            </w:tcMar>
            <w:tcBorders>
              <w:top w:val="nil"/>
              <w:left w:val="nil"/>
              <w:right w:val="nil"/>
              <w:insideH w:val="nil"/>
              <w:insideV w:val="nil"/>
            </w:tcBorders>
          </w:tcPr>
          <w:p>
            <w:pPr>
              <w:spacing w:before="0" w:after="0" w:line="240" w:lineRule="auto"/>
            </w:pPr>
            <w:r>
              <w:rPr>
                <w:rFonts w:ascii="Times New Roman" w:hAnsi="Times New Roman" w:eastAsia="Times New Roman"/>
                <w:b/>
                <w:i w:val="0"/>
                <w:sz w:val="21"/>
                <w:u w:val="none"/>
              </w:rPr>
              <w:t>Position / Title</w:t>
            </w:r>
          </w:p>
        </w:tc>
        <w:tc>
          <w:tcPr>
            <w:tcW w:type="dxa" w:w="7416"/>
            <w:vAlign w:val="bottom"/>
            <w:tcMar>
              <w:top w:w="0" w:type="dxa"/>
              <w:start w:w="20" w:type="dxa"/>
              <w:bottom w:w="18" w:type="dxa"/>
              <w:end w:w="0" w:type="dxa"/>
            </w:tcMar>
            <w:tcBorders>
              <w:bottom w:val="single" w:sz="9" w:space="0" w:color="000000"/>
              <w:top w:val="nil"/>
              <w:left w:val="nil"/>
              <w:right w:val="nil"/>
              <w:insideH w:val="nil"/>
              <w:insideV w:val="nil"/>
            </w:tcBorders>
          </w:tcPr>
          <w:p>
            <w:pPr>
              <w:spacing w:before="0" w:after="0" w:line="240" w:lineRule="auto"/>
            </w:pPr>
            <w:r>
              <w:rPr>
                <w:rFonts w:ascii="Times New Roman" w:hAnsi="Times New Roman" w:eastAsia="Times New Roman"/>
                <w:b w:val="0"/>
                <w:i w:val="0"/>
                <w:sz w:val="21"/>
                <w:u w:val="none"/>
              </w:rPr>
              <w:t xml:space="preserve"> </w:t>
            </w:r>
          </w:p>
        </w:tc>
      </w:tr>
    </w:tbl>
    <w:p>
      <w:pPr>
        <w:spacing w:before="0" w:after="120" w:line="252" w:lineRule="auto"/>
        <w:jc w:val="both"/>
      </w:pPr>
      <w:r>
        <w:rPr>
          <w:rFonts w:ascii="Times New Roman" w:hAnsi="Times New Roman" w:eastAsia="Times New Roman"/>
          <w:b w:val="0"/>
          <w:i w:val="0"/>
          <w:sz w:val="20"/>
          <w:u w:val="none"/>
        </w:rPr>
        <w:t xml:space="preserve">Upon approval, the Applicant will receive personal access credentials to the HUG-VIS audiovisual recordings, text, metadata, annotations, alpha mattes, and related files (collectively, the “Dataset”). The Dataset is provided solely for non-commercial academic research and scholarly publication. Any work using the Dataset must cite: </w:t>
      </w:r>
      <w:r>
        <w:rPr>
          <w:rFonts w:ascii="Times New Roman" w:hAnsi="Times New Roman" w:eastAsia="Times New Roman"/>
          <w:b/>
          <w:i w:val="0"/>
          <w:sz w:val="20"/>
          <w:u w:val="none"/>
        </w:rPr>
        <w:t>[INSERT THE OFFICIAL HUG-VIS PAPER CITATION].</w:t>
      </w:r>
    </w:p>
    <w:p>
      <w:pPr>
        <w:spacing w:before="0" w:after="100" w:line="252" w:lineRule="auto"/>
        <w:jc w:val="both"/>
      </w:pPr>
      <w:r>
        <w:rPr>
          <w:rFonts w:ascii="Times New Roman" w:hAnsi="Times New Roman" w:eastAsia="Times New Roman"/>
          <w:b/>
          <w:i w:val="0"/>
          <w:sz w:val="19"/>
          <w:u w:val="none"/>
        </w:rPr>
        <w:t xml:space="preserve">1. Academic use only. </w:t>
      </w:r>
      <w:r>
        <w:rPr>
          <w:rFonts w:ascii="Times New Roman" w:hAnsi="Times New Roman" w:eastAsia="Times New Roman"/>
          <w:b w:val="0"/>
          <w:i w:val="0"/>
          <w:sz w:val="19"/>
          <w:u w:val="none"/>
        </w:rPr>
        <w:t>The Dataset and any models or materials derived from it may be used only for scientific, educational, and non-commercial academic purposes. Commercial use is prohibited, including product or service development, commercial testing or benchmarking, advertising, paid services, resale or licensing, and commercial model training or deployment.</w:t>
      </w:r>
    </w:p>
    <w:p>
      <w:pPr>
        <w:spacing w:before="0" w:after="100" w:line="252" w:lineRule="auto"/>
        <w:jc w:val="both"/>
      </w:pPr>
      <w:r>
        <w:rPr>
          <w:rFonts w:ascii="Times New Roman" w:hAnsi="Times New Roman" w:eastAsia="Times New Roman"/>
          <w:b/>
          <w:i w:val="0"/>
          <w:sz w:val="19"/>
          <w:u w:val="none"/>
        </w:rPr>
        <w:t xml:space="preserve">2. No redistribution. </w:t>
      </w:r>
      <w:r>
        <w:rPr>
          <w:rFonts w:ascii="Times New Roman" w:hAnsi="Times New Roman" w:eastAsia="Times New Roman"/>
          <w:b w:val="0"/>
          <w:i w:val="0"/>
          <w:sz w:val="19"/>
          <w:u w:val="none"/>
        </w:rPr>
        <w:t>The Applicant must not sell, transfer, sublicense, publish, upload, or otherwise provide the Dataset, access credentials, annotations, or restricted derivatives to any third party. Members of the Applicant’s research group may access the Dataset only under the Applicant’s direct supervision and these same terms; the Applicant remains responsible for their compliance.</w:t>
      </w:r>
    </w:p>
    <w:p>
      <w:pPr>
        <w:spacing w:before="0" w:after="100" w:line="252" w:lineRule="auto"/>
        <w:jc w:val="both"/>
      </w:pPr>
      <w:r>
        <w:rPr>
          <w:rFonts w:ascii="Times New Roman" w:hAnsi="Times New Roman" w:eastAsia="Times New Roman"/>
          <w:b/>
          <w:i w:val="0"/>
          <w:sz w:val="19"/>
          <w:u w:val="none"/>
        </w:rPr>
        <w:t xml:space="preserve">3. No alteration or republication. </w:t>
      </w:r>
      <w:r>
        <w:rPr>
          <w:rFonts w:ascii="Times New Roman" w:hAnsi="Times New Roman" w:eastAsia="Times New Roman"/>
          <w:b w:val="0"/>
          <w:i w:val="0"/>
          <w:sz w:val="19"/>
          <w:u w:val="none"/>
        </w:rPr>
        <w:t>The original video and audio content must not be edited, manipulated, composited, dubbed, replaced, or republished as modified source data. Technical processing necessary for research—such as decoding, resizing, frame sampling, normalization, augmentation, or feature extraction—is allowed only within the approved research environment. Processed copies and newly created annotations remain restricted and may not be distributed as official HUG-VIS data without prior written permission.</w:t>
      </w:r>
    </w:p>
    <w:p>
      <w:pPr>
        <w:spacing w:before="0" w:after="100" w:line="252" w:lineRule="auto"/>
        <w:jc w:val="both"/>
      </w:pPr>
      <w:r>
        <w:rPr>
          <w:rFonts w:ascii="Times New Roman" w:hAnsi="Times New Roman" w:eastAsia="Times New Roman"/>
          <w:b/>
          <w:i w:val="0"/>
          <w:sz w:val="19"/>
          <w:u w:val="none"/>
        </w:rPr>
        <w:t xml:space="preserve">4. Privacy and responsible use. </w:t>
      </w:r>
      <w:r>
        <w:rPr>
          <w:rFonts w:ascii="Times New Roman" w:hAnsi="Times New Roman" w:eastAsia="Times New Roman"/>
          <w:b w:val="0"/>
          <w:i w:val="0"/>
          <w:sz w:val="19"/>
          <w:u w:val="none"/>
        </w:rPr>
        <w:t>The Applicant must not identify, re-identify, contact, track, impersonate, or harm any recorded person, or use the Dataset for surveillance, deceptive deepfakes, defamation, discrimination, sexual content, or unlawful purposes. Raw or identifiable samples, screenshots, audio clips, or outputs reproducing a participant’s recognizable face or voice may not be publicly released without prior written permission from the Data Provider.</w:t>
      </w:r>
    </w:p>
    <w:p>
      <w:pPr>
        <w:spacing w:before="0" w:after="120" w:line="252" w:lineRule="auto"/>
        <w:jc w:val="both"/>
      </w:pPr>
      <w:r>
        <w:rPr>
          <w:rFonts w:ascii="Times New Roman" w:hAnsi="Times New Roman" w:eastAsia="Times New Roman"/>
          <w:b/>
          <w:i w:val="0"/>
          <w:sz w:val="19"/>
          <w:u w:val="none"/>
        </w:rPr>
        <w:t xml:space="preserve">5. Security, deletion, and termination. </w:t>
      </w:r>
      <w:r>
        <w:rPr>
          <w:rFonts w:ascii="Times New Roman" w:hAnsi="Times New Roman" w:eastAsia="Times New Roman"/>
          <w:b w:val="0"/>
          <w:i w:val="0"/>
          <w:sz w:val="19"/>
          <w:u w:val="none"/>
        </w:rPr>
        <w:t>The Dataset must be stored securely and accessed only by permitted research-group members. Any loss, leak, or unauthorized access must be reported promptly to the Data Provider. All copies must be deleted when the research ends, access is withdrawn, or deletion is requested. All rights remain with the Data Provider and/or applicable rights holders. The Dataset is provided “as is”; to the extent permitted by law, the Data Provider disclaims warranties and liability. Access may be suspended or terminated for any breach.</w:t>
      </w:r>
    </w:p>
    <w:p>
      <w:pPr>
        <w:spacing w:before="0" w:after="140" w:line="252" w:lineRule="auto"/>
        <w:jc w:val="both"/>
      </w:pPr>
      <w:r>
        <w:rPr>
          <w:rFonts w:ascii="Times New Roman" w:hAnsi="Times New Roman" w:eastAsia="Times New Roman"/>
          <w:b/>
          <w:i w:val="0"/>
          <w:sz w:val="20"/>
          <w:u w:val="none"/>
        </w:rPr>
        <w:t>Please send this signed form from the official institutional e-mail address stated above. Personal e-mail submissions will not be accepted.</w:t>
      </w:r>
    </w:p>
    <w:p>
      <w:pPr>
        <w:spacing w:before="0" w:after="60" w:line="240" w:lineRule="auto"/>
      </w:pPr>
      <w:r>
        <w:rPr>
          <w:rFonts w:ascii="Times New Roman" w:hAnsi="Times New Roman" w:eastAsia="Times New Roman"/>
          <w:b/>
          <w:i w:val="0"/>
          <w:sz w:val="21"/>
          <w:u w:val="none"/>
        </w:rPr>
        <w:t>I have read and understood this Agreement and agree to comply with it.</w:t>
      </w:r>
    </w:p>
    <w:tbl>
      <w:tblPr>
        <w:tblW w:type="auto" w:w="0"/>
        <w:jc w:val="center"/>
        <w:tblLayout w:type="fixed"/>
        <w:tblLook w:firstColumn="1" w:firstRow="1" w:lastColumn="0" w:lastRow="0" w:noHBand="0" w:noVBand="1" w:val="04A0"/>
      </w:tblPr>
      <w:tblGrid>
        <w:gridCol w:w="4987"/>
        <w:gridCol w:w="4987"/>
      </w:tblGrid>
      <w:tr>
        <w:trPr>
          <w:cantSplit/>
        </w:trPr>
        <w:tc>
          <w:tcPr>
            <w:tcW w:type="dxa" w:w="2232"/>
            <w:vAlign w:val="bottom"/>
            <w:tcMar>
              <w:top w:w="0" w:type="dxa"/>
              <w:start w:w="0" w:type="dxa"/>
              <w:bottom w:w="18" w:type="dxa"/>
              <w:end w:w="70" w:type="dxa"/>
            </w:tcMar>
            <w:tcBorders>
              <w:top w:val="nil"/>
              <w:left w:val="nil"/>
              <w:right w:val="nil"/>
              <w:insideH w:val="nil"/>
              <w:insideV w:val="nil"/>
            </w:tcBorders>
          </w:tcPr>
          <w:p>
            <w:pPr>
              <w:spacing w:before="0" w:after="0" w:line="240" w:lineRule="auto"/>
            </w:pPr>
            <w:r>
              <w:rPr>
                <w:rFonts w:ascii="Times New Roman" w:hAnsi="Times New Roman" w:eastAsia="Times New Roman"/>
                <w:b/>
                <w:i w:val="0"/>
                <w:sz w:val="21"/>
                <w:u w:val="none"/>
              </w:rPr>
              <w:t>Date</w:t>
            </w:r>
          </w:p>
        </w:tc>
        <w:tc>
          <w:tcPr>
            <w:tcW w:type="dxa" w:w="7416"/>
            <w:vAlign w:val="bottom"/>
            <w:tcMar>
              <w:top w:w="0" w:type="dxa"/>
              <w:start w:w="20" w:type="dxa"/>
              <w:bottom w:w="18" w:type="dxa"/>
              <w:end w:w="0" w:type="dxa"/>
            </w:tcMar>
            <w:tcBorders>
              <w:bottom w:val="single" w:sz="9" w:space="0" w:color="000000"/>
              <w:top w:val="nil"/>
              <w:left w:val="nil"/>
              <w:right w:val="nil"/>
              <w:insideH w:val="nil"/>
              <w:insideV w:val="nil"/>
            </w:tcBorders>
          </w:tcPr>
          <w:p>
            <w:pPr>
              <w:spacing w:before="0" w:after="0" w:line="240" w:lineRule="auto"/>
            </w:pPr>
            <w:r>
              <w:rPr>
                <w:rFonts w:ascii="Times New Roman" w:hAnsi="Times New Roman" w:eastAsia="Times New Roman"/>
                <w:b w:val="0"/>
                <w:i w:val="0"/>
                <w:sz w:val="21"/>
                <w:u w:val="none"/>
              </w:rPr>
              <w:t xml:space="preserve"> </w:t>
            </w:r>
          </w:p>
        </w:tc>
      </w:tr>
      <w:tr>
        <w:trPr>
          <w:cantSplit/>
        </w:trPr>
        <w:tc>
          <w:tcPr>
            <w:tcW w:type="dxa" w:w="2232"/>
            <w:vAlign w:val="bottom"/>
            <w:tcMar>
              <w:top w:w="0" w:type="dxa"/>
              <w:start w:w="0" w:type="dxa"/>
              <w:bottom w:w="18" w:type="dxa"/>
              <w:end w:w="70" w:type="dxa"/>
            </w:tcMar>
            <w:tcBorders>
              <w:top w:val="nil"/>
              <w:left w:val="nil"/>
              <w:right w:val="nil"/>
              <w:insideH w:val="nil"/>
              <w:insideV w:val="nil"/>
            </w:tcBorders>
          </w:tcPr>
          <w:p>
            <w:pPr>
              <w:spacing w:before="0" w:after="0" w:line="240" w:lineRule="auto"/>
            </w:pPr>
            <w:r>
              <w:rPr>
                <w:rFonts w:ascii="Times New Roman" w:hAnsi="Times New Roman" w:eastAsia="Times New Roman"/>
                <w:b/>
                <w:i w:val="0"/>
                <w:sz w:val="21"/>
                <w:u w:val="none"/>
              </w:rPr>
              <w:t>Signature</w:t>
            </w:r>
          </w:p>
        </w:tc>
        <w:tc>
          <w:tcPr>
            <w:tcW w:type="dxa" w:w="7416"/>
            <w:vAlign w:val="bottom"/>
            <w:tcMar>
              <w:top w:w="0" w:type="dxa"/>
              <w:start w:w="20" w:type="dxa"/>
              <w:bottom w:w="18" w:type="dxa"/>
              <w:end w:w="0" w:type="dxa"/>
            </w:tcMar>
            <w:tcBorders>
              <w:bottom w:val="single" w:sz="9" w:space="0" w:color="000000"/>
              <w:top w:val="nil"/>
              <w:left w:val="nil"/>
              <w:right w:val="nil"/>
              <w:insideH w:val="nil"/>
              <w:insideV w:val="nil"/>
            </w:tcBorders>
          </w:tcPr>
          <w:p>
            <w:pPr>
              <w:spacing w:before="0" w:after="0" w:line="240" w:lineRule="auto"/>
            </w:pPr>
            <w:r>
              <w:rPr>
                <w:rFonts w:ascii="Times New Roman" w:hAnsi="Times New Roman" w:eastAsia="Times New Roman"/>
                <w:b w:val="0"/>
                <w:i w:val="0"/>
                <w:sz w:val="21"/>
                <w:u w:val="none"/>
              </w:rPr>
              <w:t xml:space="preserve"> </w:t>
            </w:r>
          </w:p>
        </w:tc>
      </w:tr>
    </w:tbl>
    <w:p>
      <w:pPr>
        <w:spacing w:before="100" w:after="0" w:line="240" w:lineRule="auto"/>
      </w:pPr>
      <w:r>
        <w:rPr>
          <w:rFonts w:ascii="Times New Roman" w:hAnsi="Times New Roman" w:eastAsia="Times New Roman"/>
          <w:b/>
          <w:i w:val="0"/>
          <w:sz w:val="16"/>
          <w:u w:val="none"/>
          <w:vertAlign w:val="superscript"/>
        </w:rPr>
        <w:t>¹</w:t>
      </w:r>
      <w:r>
        <w:rPr>
          <w:rFonts w:ascii="Times New Roman" w:hAnsi="Times New Roman" w:eastAsia="Times New Roman"/>
          <w:b w:val="0"/>
          <w:i w:val="0"/>
          <w:sz w:val="16"/>
          <w:u w:val="none"/>
        </w:rPr>
        <w:t xml:space="preserve"> The responsible signatory must be a faculty member, researcher, or research staff member employed by a university or public/non-profit research institution. Students may not sign as the responsible Applicant.</w:t>
      </w:r>
      <w:r>
        <w:br/>
      </w:r>
      <w:r>
        <w:rPr>
          <w:rFonts w:ascii="Times New Roman" w:hAnsi="Times New Roman" w:eastAsia="Times New Roman"/>
          <w:b/>
          <w:i w:val="0"/>
          <w:sz w:val="16"/>
          <w:u w:val="none"/>
          <w:vertAlign w:val="superscript"/>
        </w:rPr>
        <w:t>²</w:t>
      </w:r>
      <w:r>
        <w:rPr>
          <w:rFonts w:ascii="Times New Roman" w:hAnsi="Times New Roman" w:eastAsia="Times New Roman"/>
          <w:b w:val="0"/>
          <w:i w:val="0"/>
          <w:sz w:val="16"/>
          <w:u w:val="none"/>
        </w:rPr>
        <w:t xml:space="preserve"> The e-mail address must be an official institutional address. It will be used to verify the application and send the data-access information.</w:t>
      </w:r>
    </w:p>
    <w:sectPr w:rsidR="00FC693F" w:rsidRPr="0006063C" w:rsidSect="00034616">
      <w:pgSz w:w="11905" w:h="16838"/>
      <w:pgMar w:top="792" w:right="965" w:bottom="691" w:left="96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2" w:lineRule="auto"/>
    </w:pPr>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HUG-VIS Dataset Academic Use License Agreement - Simple Form</dc:title>
  <dc:subject>One-page controlled-access agreement for non-commercial academic use</dc:subject>
  <dc:creator>HUG-VIS Dataset Team</dc:creator>
  <cp:keywords>HUG-VIS, dataset, academic use, license, agreement, simple form</cp:keywords>
  <dc:description>generated by python-docx</dc:description>
  <cp:lastModifiedBy/>
  <cp:revision>1</cp:revision>
  <dcterms:created xsi:type="dcterms:W3CDTF">2013-12-23T23:15:00Z</dcterms:created>
  <dcterms:modified xsi:type="dcterms:W3CDTF">2013-12-23T23:15:00Z</dcterms:modified>
  <cp:category/>
</cp:coreProperties>
</file>